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480" w:lineRule="auto"/>
        <w:rPr>
          <w:rFonts w:ascii="Times New Roman" w:cs="Times New Roman" w:eastAsia="Times New Roman" w:hAnsi="Times New Roman"/>
          <w:b w:val="1"/>
          <w:bCs w:val="1"/>
          <w:sz w:val="24"/>
          <w:szCs w:val="24"/>
          <w:u w:val="single"/>
        </w:rPr>
      </w:pPr>
      <w:r w:rsidDel="00000000" w:rsidR="00000000" w:rsidRPr="00000000">
        <w:rPr>
          <w:rtl w:val="0"/>
        </w:rPr>
      </w:r>
    </w:p>
    <w:p w:rsidR="00000000" w:rsidDel="00000000" w:rsidP="00000000" w:rsidRDefault="00000000" w:rsidRPr="00000000" w14:paraId="00000002">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Reverse Engineering Rapid Melioidosis Immunochromatography Test to Diagnose other Synthetic Tropical Diseases Using Synthetic Biology</w:t>
      </w:r>
      <w:r w:rsidDel="00000000" w:rsidR="00000000" w:rsidRPr="00000000">
        <w:rPr>
          <w:rtl w:val="0"/>
        </w:rPr>
      </w:r>
    </w:p>
    <w:p w:rsidR="00000000" w:rsidDel="00000000" w:rsidP="00000000" w:rsidRDefault="00000000" w:rsidRPr="00000000" w14:paraId="00000003">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4">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Abstract:</w:t>
      </w:r>
    </w:p>
    <w:p w:rsidR="00000000" w:rsidDel="00000000" w:rsidP="00000000" w:rsidRDefault="00000000" w:rsidRPr="00000000" w14:paraId="00000005">
      <w:pPr>
        <w:rPr/>
      </w:pPr>
      <w:r w:rsidDel="00000000" w:rsidR="00000000" w:rsidRPr="00000000">
        <w:rPr>
          <w:rtl w:val="0"/>
        </w:rPr>
      </w:r>
    </w:p>
    <w:p w:rsidR="00000000" w:rsidDel="00000000" w:rsidP="00000000" w:rsidRDefault="00000000" w:rsidRPr="00000000" w14:paraId="00000006">
      <w:pPr>
        <w:spacing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Melioidosis (Whitmore’s disease) is a potentially fatal infectious disease caused by the bacteria </w:t>
      </w:r>
      <w:r w:rsidDel="00000000" w:rsidR="00000000" w:rsidRPr="00000000">
        <w:rPr>
          <w:rFonts w:ascii="Times New Roman" w:cs="Times New Roman" w:eastAsia="Times New Roman" w:hAnsi="Times New Roman"/>
          <w:i w:val="1"/>
          <w:iCs w:val="1"/>
          <w:sz w:val="24"/>
          <w:szCs w:val="24"/>
          <w:rtl w:val="0"/>
        </w:rPr>
        <w:t xml:space="preserve">Burkholderia Pseudomallei</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i w:val="1"/>
          <w:iCs w:val="1"/>
          <w:sz w:val="24"/>
          <w:szCs w:val="24"/>
          <w:rtl w:val="0"/>
        </w:rPr>
        <w:t xml:space="preserve">B. pseudomallei</w:t>
      </w:r>
      <w:r w:rsidDel="00000000" w:rsidR="00000000" w:rsidRPr="00000000">
        <w:rPr>
          <w:rFonts w:ascii="Times New Roman" w:cs="Times New Roman" w:eastAsia="Times New Roman" w:hAnsi="Times New Roman"/>
          <w:sz w:val="24"/>
          <w:szCs w:val="24"/>
          <w:rtl w:val="0"/>
        </w:rPr>
        <w:t xml:space="preserve"> is a bacteria found in the soil and water of tropical regions such as South-East Asia and Northern Australia. This disease is often hard to detect due to its varying symptoms depending on the site of infection, often getting misdiagnosed as pneumonia, influenza, and sepsis, hence the alias “The Mimicker”. People with immune-suppressing conditions as well as chronic diseases such as diabetes, liver, or lung disease are more susceptible to contracting Whitmore’s disease. </w:t>
      </w:r>
    </w:p>
    <w:p w:rsidR="00000000" w:rsidDel="00000000" w:rsidP="00000000" w:rsidRDefault="00000000" w:rsidRPr="00000000" w14:paraId="00000007">
      <w:pPr>
        <w:spacing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Whitmore’s disease is contracted through environmental contact with broken skin, ingestion, and/or inhalation. The bacteria works by invading the host cells, escaping phagosomes using Type 3 Secretion systems (T3SS3), and using actin polymerization (mediated through BimA)  in order to move between cells. The bacteria induces the fusion of infected cells leading to multinucleated giant cells. The pathogen survives within macrophages and subverts host immune responses, facilitating systemic dissemination.</w:t>
      </w:r>
      <w:r w:rsidDel="00000000" w:rsidR="00000000" w:rsidRPr="00000000">
        <w:rPr>
          <w:rFonts w:ascii="Times New Roman" w:cs="Times New Roman" w:eastAsia="Times New Roman" w:hAnsi="Times New Roman"/>
          <w:b w:val="1"/>
          <w:bCs w:val="1"/>
          <w:sz w:val="24"/>
          <w:szCs w:val="24"/>
          <w:rtl w:val="0"/>
        </w:rPr>
        <w:t xml:space="preserve"> </w:t>
      </w:r>
      <w:r w:rsidDel="00000000" w:rsidR="00000000" w:rsidRPr="00000000">
        <w:rPr>
          <w:rFonts w:ascii="Times New Roman" w:cs="Times New Roman" w:eastAsia="Times New Roman" w:hAnsi="Times New Roman"/>
          <w:sz w:val="24"/>
          <w:szCs w:val="24"/>
          <w:rtl w:val="0"/>
        </w:rPr>
        <w:t xml:space="preserve">The development of rapid detection methods for melioidosis has demonstrated how diagnostics can save lives, and this approach can be reverse-engineered through synthetic biology to create rapid diagnostic tools for other emerging or synthetic tropical diseases.</w:t>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