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Polyvinyl chloride (PVC) is one of the most widely used plastics, accounting for 10% of global plastic produc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PVC can invade the human body, damaging gut structure and promoting carcinogenesis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Despite these risks, the lack of medically relevant PVC detection methods limits correlating exposure with health effects.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Current detection methods rely on physical and/or chemical characterization techniques that are costly, time-consuming, and poorly suited for assessing biological impact.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this project, we implement a proposal from students at Brookline High School to genetically engineer an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Escherichia coli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-based biosensor that produces luminescence in response to PVC exposure. The design stems from the hypothesis that PVC exposure induces oxidative stress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E. coli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leading to the upregulation of the protein OxyR. Once activated, OxyR drives transcription of the KatG gene, which is coupled to a NanoLuc® luciferase reporter to produce luminesc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firstLine="72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linking PVC exposure to a cellular stress response, this biosensor framework offers a novel approach for assessing biologically relevant plastic exposure. If validated, this system can provide a basis for future studies to monitor plastic presence in medical samples and support investigations into the health impacts of plasti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 exposure.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dxaVe37Hjt/nl9F5uEXJMZ7Mw==">CgMxLjA4AHIhMTRXSnR4bmdzc0hHWF9MdW16elQ3WkNXLVVVTFhrSjBn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