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color w:val="01b6e7"/>
          <w:sz w:val="24"/>
          <w:szCs w:val="24"/>
        </w:rPr>
      </w:pPr>
      <w:r w:rsidDel="00000000" w:rsidR="00000000" w:rsidRPr="00000000">
        <w:rPr>
          <w:color w:val="01b6e7"/>
          <w:sz w:val="24"/>
          <w:szCs w:val="24"/>
          <w:rtl w:val="0"/>
        </w:rPr>
        <w:t xml:space="preserve">Engineering a Tetrathionate-Responsive Bacterial Biosensor for Detecting Gut Inflammation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Alexa Buonagurio, Allie Letourneau, Valentina Carideo, Jiya Patel, Brady Nguyen, Haiquis Dominguez, Maureen Melanson. 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Methuen High School, Methuen, Massachusetts, United States 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Gut inflammation often requires monitoring through invasive and costly procedures, creating a need for noninvasive diagnostic methods. This project focuses on designing a bacterial biosensor that detects intestinal inflammation by sensing tetrathionate, a biomarker produced during inflammatory responses in the gut. The biosensor uses the tetrathionate response promoter PttrB, regulated by the TtrS/TtrR two-component system identified in Salmonella. The membrane-bound sensor kinase TtrS detects tetrathionate and activates the response regulator TtrR through phosphorylation. Activated TtrR binds to the PttrB promoter and initiates transcription of a downstream reporter gene. The reporter gene lacZ was selected because it produces the enzyme β-galactosidase and functions without oxygen, making it suitable for anaerobic gut conditions. When lacZ is expressed in the presence of X-gal, bacterial colonies turn blue, providing a visible indicator that tetrathionate has been detected. This color change confirms detection of the inflammation marker. This project demonstrates the conceptual design of a gut-compatible bacterial biosensor capable of sensing an inflammation-associated biomarker and producing a measurable response. Such systems could support future development of noninvasive diagnostic or therapeutic engineered bacteria for monitoring and managing intestinal inflammation.</w:t>
      </w:r>
    </w:p>
    <w:sectPr>
      <w:pgSz w:h="15840" w:w="12240" w:orient="portrait"/>
      <w:pgMar w:bottom="1440" w:top="99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