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bCs w:val="1"/>
          <w:i w:val="1"/>
          <w:iCs w:val="1"/>
          <w:sz w:val="24"/>
          <w:szCs w:val="24"/>
        </w:rPr>
      </w:pPr>
      <w:r w:rsidDel="00000000" w:rsidR="00000000" w:rsidRPr="00000000">
        <w:rPr>
          <w:rFonts w:ascii="Calibri" w:cs="Calibri" w:eastAsia="Calibri" w:hAnsi="Calibri"/>
          <w:b w:val="1"/>
          <w:bCs w:val="1"/>
          <w:i w:val="1"/>
          <w:iCs w:val="1"/>
          <w:sz w:val="24"/>
          <w:szCs w:val="24"/>
          <w:rtl w:val="0"/>
        </w:rPr>
        <w:t xml:space="preserve">V3:</w:t>
      </w:r>
    </w:p>
    <w:p w:rsidR="00000000" w:rsidDel="00000000" w:rsidP="00000000" w:rsidRDefault="00000000" w:rsidRPr="00000000" w14:paraId="00000002">
      <w:pPr>
        <w:spacing w:line="240" w:lineRule="auto"/>
        <w:ind w:left="0" w:firstLine="0"/>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03">
      <w:pPr>
        <w:spacing w:line="240" w:lineRule="auto"/>
        <w:ind w:left="0"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u w:val="single"/>
          <w:rtl w:val="0"/>
        </w:rPr>
        <w:t xml:space="preserve">Title</w:t>
      </w:r>
      <w:r w:rsidDel="00000000" w:rsidR="00000000" w:rsidRPr="00000000">
        <w:rPr>
          <w:rFonts w:ascii="Calibri" w:cs="Calibri" w:eastAsia="Calibri" w:hAnsi="Calibri"/>
          <w:b w:val="1"/>
          <w:bCs w:val="1"/>
          <w:i w:val="1"/>
          <w:iCs w:val="1"/>
          <w:sz w:val="24"/>
          <w:szCs w:val="24"/>
          <w:rtl w:val="0"/>
        </w:rPr>
        <w:t xml:space="preserve">- </w:t>
      </w:r>
      <w:r w:rsidDel="00000000" w:rsidR="00000000" w:rsidRPr="00000000">
        <w:rPr>
          <w:rFonts w:ascii="Calibri" w:cs="Calibri" w:eastAsia="Calibri" w:hAnsi="Calibri"/>
          <w:b w:val="1"/>
          <w:bCs w:val="1"/>
          <w:sz w:val="24"/>
          <w:szCs w:val="24"/>
          <w:rtl w:val="0"/>
        </w:rPr>
        <w:t xml:space="preserve">Designing a LANCET-Based Assay to Diagnose </w:t>
      </w:r>
      <w:r w:rsidDel="00000000" w:rsidR="00000000" w:rsidRPr="00000000">
        <w:rPr>
          <w:rFonts w:ascii="Calibri" w:cs="Calibri" w:eastAsia="Calibri" w:hAnsi="Calibri"/>
          <w:b w:val="1"/>
          <w:bCs w:val="1"/>
          <w:i w:val="1"/>
          <w:iCs w:val="1"/>
          <w:sz w:val="24"/>
          <w:szCs w:val="24"/>
          <w:rtl w:val="0"/>
        </w:rPr>
        <w:t xml:space="preserve">Burkholderia pseudomallei</w:t>
      </w:r>
      <w:r w:rsidDel="00000000" w:rsidR="00000000" w:rsidRPr="00000000">
        <w:rPr>
          <w:rFonts w:ascii="Calibri" w:cs="Calibri" w:eastAsia="Calibri" w:hAnsi="Calibri"/>
          <w:b w:val="1"/>
          <w:bCs w:val="1"/>
          <w:sz w:val="24"/>
          <w:szCs w:val="24"/>
          <w:rtl w:val="0"/>
        </w:rPr>
        <w:t xml:space="preserve">-Derived Melioidosis</w:t>
      </w:r>
    </w:p>
    <w:p w:rsidR="00000000" w:rsidDel="00000000" w:rsidP="00000000" w:rsidRDefault="00000000" w:rsidRPr="00000000" w14:paraId="00000004">
      <w:pPr>
        <w:widowControl w:val="0"/>
        <w:spacing w:after="240" w:before="240" w:line="240" w:lineRule="auto"/>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u w:val="single"/>
          <w:rtl w:val="0"/>
        </w:rPr>
        <w:t xml:space="preserve">Abstract (on poster)</w:t>
      </w:r>
      <w:r w:rsidDel="00000000" w:rsidR="00000000" w:rsidRPr="00000000">
        <w:rPr>
          <w:rFonts w:ascii="Calibri" w:cs="Calibri" w:eastAsia="Calibri" w:hAnsi="Calibri"/>
          <w:b w:val="1"/>
          <w:bCs w:val="1"/>
          <w:i w:val="1"/>
          <w:iCs w:val="1"/>
          <w:sz w:val="24"/>
          <w:szCs w:val="24"/>
          <w:rtl w:val="0"/>
        </w:rPr>
        <w:t xml:space="preserve">-</w:t>
      </w:r>
      <w:r w:rsidDel="00000000" w:rsidR="00000000" w:rsidRPr="00000000">
        <w:rPr>
          <w:rFonts w:ascii="Calibri" w:cs="Calibri" w:eastAsia="Calibri" w:hAnsi="Calibri"/>
          <w:sz w:val="24"/>
          <w:szCs w:val="24"/>
          <w:rtl w:val="0"/>
        </w:rPr>
        <w:t xml:space="preserve"> Melioidosis is a tropical infectious disease spread by the gram-negative bacterial vector </w:t>
      </w:r>
      <w:r w:rsidDel="00000000" w:rsidR="00000000" w:rsidRPr="00000000">
        <w:rPr>
          <w:rFonts w:ascii="Calibri" w:cs="Calibri" w:eastAsia="Calibri" w:hAnsi="Calibri"/>
          <w:i w:val="1"/>
          <w:iCs w:val="1"/>
          <w:sz w:val="24"/>
          <w:szCs w:val="24"/>
          <w:rtl w:val="0"/>
        </w:rPr>
        <w:t xml:space="preserve">Burkholderia pseudomallei, </w:t>
      </w:r>
      <w:r w:rsidDel="00000000" w:rsidR="00000000" w:rsidRPr="00000000">
        <w:rPr>
          <w:rFonts w:ascii="Calibri" w:cs="Calibri" w:eastAsia="Calibri" w:hAnsi="Calibri"/>
          <w:sz w:val="24"/>
          <w:szCs w:val="24"/>
          <w:rtl w:val="0"/>
        </w:rPr>
        <w:t xml:space="preserve">characterized by adversities ranging from systemic lesions to even multi-organ failure. Although it affects over 165,000 individuals globally, typical diagnosis still relies on the bacterial culturing of clinical biofluids, resulting in diagnostic delays that sometimes outpace disease progression. To mitigate this, we utilize BipD, a </w:t>
      </w:r>
      <w:r w:rsidDel="00000000" w:rsidR="00000000" w:rsidRPr="00000000">
        <w:rPr>
          <w:rFonts w:ascii="Calibri" w:cs="Calibri" w:eastAsia="Calibri" w:hAnsi="Calibri"/>
          <w:i w:val="1"/>
          <w:iCs w:val="1"/>
          <w:sz w:val="24"/>
          <w:szCs w:val="24"/>
          <w:rtl w:val="0"/>
        </w:rPr>
        <w:t xml:space="preserve">B. pseudomallei</w:t>
      </w:r>
      <w:r w:rsidDel="00000000" w:rsidR="00000000" w:rsidRPr="00000000">
        <w:rPr>
          <w:rFonts w:ascii="Calibri" w:cs="Calibri" w:eastAsia="Calibri" w:hAnsi="Calibri"/>
          <w:sz w:val="24"/>
          <w:szCs w:val="24"/>
          <w:rtl w:val="0"/>
        </w:rPr>
        <w:t xml:space="preserve"> virulence protein, with two high-affinity single-stranded deoxyribonucleic acid (ssDNA) aptamers to generate a detectable molecular signal prior to fulminance. Although our current predictions through AlphaFold3, RNAfold, and EZassay software show low confidence, further </w:t>
      </w:r>
      <w:r w:rsidDel="00000000" w:rsidR="00000000" w:rsidRPr="00000000">
        <w:rPr>
          <w:rFonts w:ascii="Calibri" w:cs="Calibri" w:eastAsia="Calibri" w:hAnsi="Calibri"/>
          <w:i w:val="1"/>
          <w:iCs w:val="1"/>
          <w:sz w:val="24"/>
          <w:szCs w:val="24"/>
          <w:rtl w:val="0"/>
        </w:rPr>
        <w:t xml:space="preserve">in silico</w:t>
      </w:r>
      <w:r w:rsidDel="00000000" w:rsidR="00000000" w:rsidRPr="00000000">
        <w:rPr>
          <w:rFonts w:ascii="Calibri" w:cs="Calibri" w:eastAsia="Calibri" w:hAnsi="Calibri"/>
          <w:sz w:val="24"/>
          <w:szCs w:val="24"/>
          <w:rtl w:val="0"/>
        </w:rPr>
        <w:t xml:space="preserve"> validation is still necessary.</w:t>
      </w:r>
      <w:r w:rsidDel="00000000" w:rsidR="00000000" w:rsidRPr="00000000">
        <w:rPr>
          <w:rtl w:val="0"/>
        </w:rPr>
      </w:r>
    </w:p>
    <w:p w:rsidR="00000000" w:rsidDel="00000000" w:rsidP="00000000" w:rsidRDefault="00000000" w:rsidRPr="00000000" w14:paraId="00000005">
      <w:pPr>
        <w:spacing w:line="240" w:lineRule="auto"/>
        <w:ind w:left="0" w:firstLine="0"/>
        <w:rPr>
          <w:rFonts w:ascii="Calibri" w:cs="Calibri" w:eastAsia="Calibri" w:hAnsi="Calibri"/>
          <w:b w:val="1"/>
          <w:bCs w:val="1"/>
          <w:i w:val="1"/>
          <w:iCs w:val="1"/>
          <w:sz w:val="24"/>
          <w:szCs w:val="24"/>
        </w:rPr>
      </w:pPr>
      <w:r w:rsidDel="00000000" w:rsidR="00000000" w:rsidRPr="00000000">
        <w:rPr>
          <w:rFonts w:ascii="Calibri" w:cs="Calibri" w:eastAsia="Calibri" w:hAnsi="Calibri"/>
          <w:b w:val="1"/>
          <w:bCs w:val="1"/>
          <w:i w:val="1"/>
          <w:iCs w:val="1"/>
          <w:sz w:val="24"/>
          <w:szCs w:val="24"/>
          <w:rtl w:val="0"/>
        </w:rPr>
        <w:t xml:space="preserve">V2 (submitted to local folder instead of actual team folder on 2/19/26):</w:t>
      </w:r>
    </w:p>
    <w:p w:rsidR="00000000" w:rsidDel="00000000" w:rsidP="00000000" w:rsidRDefault="00000000" w:rsidRPr="00000000" w14:paraId="00000006">
      <w:pPr>
        <w:spacing w:line="240" w:lineRule="auto"/>
        <w:ind w:left="0" w:firstLine="0"/>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007">
      <w:pPr>
        <w:spacing w:line="240" w:lineRule="auto"/>
        <w:ind w:left="0"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u w:val="single"/>
          <w:rtl w:val="0"/>
        </w:rPr>
        <w:t xml:space="preserve">Title Draft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Designing a LANCET-Based Proximity-Dependent Ligation Assay to Effectively Diagnose </w:t>
      </w:r>
      <w:r w:rsidDel="00000000" w:rsidR="00000000" w:rsidRPr="00000000">
        <w:rPr>
          <w:rFonts w:ascii="Calibri" w:cs="Calibri" w:eastAsia="Calibri" w:hAnsi="Calibri"/>
          <w:b w:val="1"/>
          <w:bCs w:val="1"/>
          <w:i w:val="1"/>
          <w:iCs w:val="1"/>
          <w:sz w:val="24"/>
          <w:szCs w:val="24"/>
          <w:rtl w:val="0"/>
        </w:rPr>
        <w:t xml:space="preserve">Burkholderia pseudomallei</w:t>
      </w:r>
      <w:r w:rsidDel="00000000" w:rsidR="00000000" w:rsidRPr="00000000">
        <w:rPr>
          <w:rFonts w:ascii="Calibri" w:cs="Calibri" w:eastAsia="Calibri" w:hAnsi="Calibri"/>
          <w:b w:val="1"/>
          <w:bCs w:val="1"/>
          <w:sz w:val="24"/>
          <w:szCs w:val="24"/>
          <w:rtl w:val="0"/>
        </w:rPr>
        <w:t xml:space="preserve">-Derived Melioidosis </w:t>
      </w:r>
    </w:p>
    <w:p w:rsidR="00000000" w:rsidDel="00000000" w:rsidP="00000000" w:rsidRDefault="00000000" w:rsidRPr="00000000" w14:paraId="00000008">
      <w:pPr>
        <w:spacing w:line="240" w:lineRule="auto"/>
        <w:ind w:left="0"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9">
      <w:pPr>
        <w:spacing w:line="240" w:lineRule="auto"/>
        <w:ind w:left="0" w:firstLine="0"/>
        <w:rPr>
          <w:rFonts w:ascii="Calibri" w:cs="Calibri" w:eastAsia="Calibri" w:hAnsi="Calibri"/>
          <w:i w:val="1"/>
          <w:iCs w:val="1"/>
          <w:sz w:val="24"/>
          <w:szCs w:val="24"/>
        </w:rPr>
      </w:pPr>
      <w:r w:rsidDel="00000000" w:rsidR="00000000" w:rsidRPr="00000000">
        <w:rPr>
          <w:rFonts w:ascii="Calibri" w:cs="Calibri" w:eastAsia="Calibri" w:hAnsi="Calibri"/>
          <w:b w:val="1"/>
          <w:bCs w:val="1"/>
          <w:sz w:val="24"/>
          <w:szCs w:val="24"/>
          <w:u w:val="single"/>
          <w:rtl w:val="0"/>
        </w:rPr>
        <w:t xml:space="preserve">Abstract Draft</w:t>
      </w:r>
      <w:r w:rsidDel="00000000" w:rsidR="00000000" w:rsidRPr="00000000">
        <w:rPr>
          <w:rFonts w:ascii="Calibri" w:cs="Calibri" w:eastAsia="Calibri" w:hAnsi="Calibri"/>
          <w:i w:val="1"/>
          <w:iCs w:val="1"/>
          <w:sz w:val="24"/>
          <w:szCs w:val="24"/>
          <w:rtl w:val="0"/>
        </w:rPr>
        <w:t xml:space="preserve">:</w:t>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Paragraph Format</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0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Melioidosis is a highly consequential infectious disease that affects an estimated 165,000 individuals worldwide. This disorder is characterized by systemic lesions, pneumonia, gram-negative sepsis, and multi-organ failure within both its chronic and acute variants. It is spread through routes of exposure with and physical contact with abiotic elements contaminated by the soil-dwelling bacillus </w:t>
      </w:r>
      <w:r w:rsidDel="00000000" w:rsidR="00000000" w:rsidRPr="00000000">
        <w:rPr>
          <w:rFonts w:ascii="Calibri" w:cs="Calibri" w:eastAsia="Calibri" w:hAnsi="Calibri"/>
          <w:i w:val="1"/>
          <w:iCs w:val="1"/>
          <w:sz w:val="24"/>
          <w:szCs w:val="24"/>
          <w:rtl w:val="0"/>
        </w:rPr>
        <w:t xml:space="preserve">Burkholderia pseudomallei. </w:t>
      </w:r>
      <w:r w:rsidDel="00000000" w:rsidR="00000000" w:rsidRPr="00000000">
        <w:rPr>
          <w:rFonts w:ascii="Calibri" w:cs="Calibri" w:eastAsia="Calibri" w:hAnsi="Calibri"/>
          <w:sz w:val="24"/>
          <w:szCs w:val="24"/>
          <w:rtl w:val="0"/>
        </w:rPr>
        <w:t xml:space="preserve">As current diagnostic methods rely on bacterial culturing of clinical biofluids and therefore result in a diagnostic delay that can outpace the disease, this project proposes the creation of a Proximity-Dependent Ligation (PDL) assay based on an existing framework—LANCET—for specific, rapid, and effective detection. Within this research, we aim to utilize BipD—a </w:t>
      </w:r>
      <w:r w:rsidDel="00000000" w:rsidR="00000000" w:rsidRPr="00000000">
        <w:rPr>
          <w:rFonts w:ascii="Calibri" w:cs="Calibri" w:eastAsia="Calibri" w:hAnsi="Calibri"/>
          <w:i w:val="1"/>
          <w:iCs w:val="1"/>
          <w:sz w:val="24"/>
          <w:szCs w:val="24"/>
          <w:rtl w:val="0"/>
        </w:rPr>
        <w:t xml:space="preserve">B. pseudomallei</w:t>
      </w:r>
      <w:r w:rsidDel="00000000" w:rsidR="00000000" w:rsidRPr="00000000">
        <w:rPr>
          <w:rFonts w:ascii="Calibri" w:cs="Calibri" w:eastAsia="Calibri" w:hAnsi="Calibri"/>
          <w:sz w:val="24"/>
          <w:szCs w:val="24"/>
          <w:rtl w:val="0"/>
        </w:rPr>
        <w:t xml:space="preserve">-specific protein essential for pathogenesis—along with two high-affinity single-stranded deoxyribonucleic acid (ssDNA) aptamers to create an amplifiable molecular signal that can be effectively detected pre-fulmination. In order to do this, a framework from LANCET, a system that combines CRISPR-Cas12a detection, PDL assays, and RPA amplification to detect lyme disease, will be utilized. AlphaFold 3 is currently being employed for protein modeling and binding simulations prior to implementation and adjustment of the framework, and Google Documents will be employed for a rapid review that validates our protein-aptamer complex.</w:t>
      </w:r>
    </w:p>
    <w:p w:rsidR="00000000" w:rsidDel="00000000" w:rsidP="00000000" w:rsidRDefault="00000000" w:rsidRPr="00000000" w14:paraId="0000000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far, different ssDNA aptamers with moderate to high dissociation constants (K</w:t>
      </w:r>
      <w:r w:rsidDel="00000000" w:rsidR="00000000" w:rsidRPr="00000000">
        <w:rPr>
          <w:rFonts w:ascii="Calibri" w:cs="Calibri" w:eastAsia="Calibri" w:hAnsi="Calibri"/>
          <w:sz w:val="24"/>
          <w:szCs w:val="24"/>
          <w:vertAlign w:val="subscript"/>
          <w:rtl w:val="0"/>
        </w:rPr>
        <w:t xml:space="preserve">d</w:t>
      </w:r>
      <w:r w:rsidDel="00000000" w:rsidR="00000000" w:rsidRPr="00000000">
        <w:rPr>
          <w:rFonts w:ascii="Calibri" w:cs="Calibri" w:eastAsia="Calibri" w:hAnsi="Calibri"/>
          <w:sz w:val="24"/>
          <w:szCs w:val="24"/>
          <w:rtl w:val="0"/>
        </w:rPr>
        <w:t xml:space="preserve">) are being tested with BipD for targeted interface Predicted Template Modeling (iPTM) scores &gt; 0.6. We performed six different trials on AlphaFold 3 and received the following iPTM scores (with x &lt; 0.6 signifying low confidence, x = 0.6–0.7 signifying moderate confidence, x &gt; 0.8 signifying high confidence (let x = iPTM value)): Trial 1 = 0.08, Trial 2 = 0.21, Trials 3, 4, 5 = 0.09, Trial 6 = 0.15. Although we have no major conclusions so far, it has been discovered that the pretested BipD-aptamer combinations are likely inaccurate for our targeted processes. Further </w:t>
      </w:r>
      <w:r w:rsidDel="00000000" w:rsidR="00000000" w:rsidRPr="00000000">
        <w:rPr>
          <w:rFonts w:ascii="Calibri" w:cs="Calibri" w:eastAsia="Calibri" w:hAnsi="Calibri"/>
          <w:i w:val="1"/>
          <w:iCs w:val="1"/>
          <w:sz w:val="24"/>
          <w:szCs w:val="24"/>
          <w:rtl w:val="0"/>
        </w:rPr>
        <w:t xml:space="preserve">in silico</w:t>
      </w:r>
      <w:r w:rsidDel="00000000" w:rsidR="00000000" w:rsidRPr="00000000">
        <w:rPr>
          <w:rFonts w:ascii="Calibri" w:cs="Calibri" w:eastAsia="Calibri" w:hAnsi="Calibri"/>
          <w:sz w:val="24"/>
          <w:szCs w:val="24"/>
          <w:rtl w:val="0"/>
        </w:rPr>
        <w:t xml:space="preserve"> validation is necessary prior to hands-on experimentation.</w:t>
      </w:r>
    </w:p>
    <w:p w:rsidR="00000000" w:rsidDel="00000000" w:rsidP="00000000" w:rsidRDefault="00000000" w:rsidRPr="00000000" w14:paraId="0000000D">
      <w:pPr>
        <w:spacing w:line="240" w:lineRule="auto"/>
        <w:ind w:left="0" w:firstLine="0"/>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0E">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Structured Format</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0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Introduction</w:t>
      </w:r>
      <w:r w:rsidDel="00000000" w:rsidR="00000000" w:rsidRPr="00000000">
        <w:rPr>
          <w:rFonts w:ascii="Calibri" w:cs="Calibri" w:eastAsia="Calibri" w:hAnsi="Calibri"/>
          <w:sz w:val="24"/>
          <w:szCs w:val="24"/>
          <w:rtl w:val="0"/>
        </w:rPr>
        <w:t xml:space="preserve">: Melioidosis is a highly consequential infectious disease that affects an estimated 165,000 individuals worldwide. This disorder is characterized by systemic lesions, pneumonia, gram-negative sepsis, and multi-organ failure within both its chronic and acute variants. It is spread through routes of exposure with and physical contact with abiotic elements contaminated by the soil-dwelling bacillus </w:t>
      </w:r>
      <w:r w:rsidDel="00000000" w:rsidR="00000000" w:rsidRPr="00000000">
        <w:rPr>
          <w:rFonts w:ascii="Calibri" w:cs="Calibri" w:eastAsia="Calibri" w:hAnsi="Calibri"/>
          <w:i w:val="1"/>
          <w:iCs w:val="1"/>
          <w:sz w:val="24"/>
          <w:szCs w:val="24"/>
          <w:rtl w:val="0"/>
        </w:rPr>
        <w:t xml:space="preserve">Burkholderia pseudomallei. </w:t>
      </w:r>
      <w:r w:rsidDel="00000000" w:rsidR="00000000" w:rsidRPr="00000000">
        <w:rPr>
          <w:rFonts w:ascii="Calibri" w:cs="Calibri" w:eastAsia="Calibri" w:hAnsi="Calibri"/>
          <w:sz w:val="24"/>
          <w:szCs w:val="24"/>
          <w:rtl w:val="0"/>
        </w:rPr>
        <w:t xml:space="preserve">As current diagnostic methods rely on bacterial culturing of clinical biofluids and therefore result in a diagnostic delay that can outpace the disease, this project proposes the creation of a Proximity-Dependent Ligation (PDL) assay based on an existing framework—LANCET—for a specific, rapid, and effective solution.</w:t>
      </w:r>
    </w:p>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Methods</w:t>
      </w:r>
      <w:r w:rsidDel="00000000" w:rsidR="00000000" w:rsidRPr="00000000">
        <w:rPr>
          <w:rFonts w:ascii="Calibri" w:cs="Calibri" w:eastAsia="Calibri" w:hAnsi="Calibri"/>
          <w:sz w:val="24"/>
          <w:szCs w:val="24"/>
          <w:rtl w:val="0"/>
        </w:rPr>
        <w:t xml:space="preserve">: Within this research, we aim to utilize BipD—a </w:t>
      </w:r>
      <w:r w:rsidDel="00000000" w:rsidR="00000000" w:rsidRPr="00000000">
        <w:rPr>
          <w:rFonts w:ascii="Calibri" w:cs="Calibri" w:eastAsia="Calibri" w:hAnsi="Calibri"/>
          <w:i w:val="1"/>
          <w:iCs w:val="1"/>
          <w:sz w:val="24"/>
          <w:szCs w:val="24"/>
          <w:rtl w:val="0"/>
        </w:rPr>
        <w:t xml:space="preserve">B. pseudomallei</w:t>
      </w:r>
      <w:r w:rsidDel="00000000" w:rsidR="00000000" w:rsidRPr="00000000">
        <w:rPr>
          <w:rFonts w:ascii="Calibri" w:cs="Calibri" w:eastAsia="Calibri" w:hAnsi="Calibri"/>
          <w:sz w:val="24"/>
          <w:szCs w:val="24"/>
          <w:rtl w:val="0"/>
        </w:rPr>
        <w:t xml:space="preserve">-specific protein essential for pathogenesis—along with two high-affinity single-stranded deoxyribonucleic acid (ssDNA) aptamers to create an amplifiable molecular signal that can be effectively detected pre-fulmination. In order to do this, a framework from LANCET, a system that combines CRISPR-Cas12a detection, PDL assays, and RPA amplification to detect lyme disease, will be utilized. AlphaFold 3 is currently being employed for protein modeling and binding simulations prior to implementation and adjustment of the framework, and Google Documents will be employed for a rapid review that validates our protein-aptamer complex.</w:t>
      </w:r>
    </w:p>
    <w:p w:rsidR="00000000" w:rsidDel="00000000" w:rsidP="00000000" w:rsidRDefault="00000000" w:rsidRPr="00000000" w14:paraId="00000012">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Results</w:t>
      </w:r>
      <w:r w:rsidDel="00000000" w:rsidR="00000000" w:rsidRPr="00000000">
        <w:rPr>
          <w:rFonts w:ascii="Calibri" w:cs="Calibri" w:eastAsia="Calibri" w:hAnsi="Calibri"/>
          <w:sz w:val="24"/>
          <w:szCs w:val="24"/>
          <w:rtl w:val="0"/>
        </w:rPr>
        <w:t xml:space="preserve">: So far, different ssDNA aptamers with moderate to high dissociation constants (K</w:t>
      </w:r>
      <w:r w:rsidDel="00000000" w:rsidR="00000000" w:rsidRPr="00000000">
        <w:rPr>
          <w:rFonts w:ascii="Calibri" w:cs="Calibri" w:eastAsia="Calibri" w:hAnsi="Calibri"/>
          <w:sz w:val="24"/>
          <w:szCs w:val="24"/>
          <w:vertAlign w:val="subscript"/>
          <w:rtl w:val="0"/>
        </w:rPr>
        <w:t xml:space="preserve">d</w:t>
      </w:r>
      <w:r w:rsidDel="00000000" w:rsidR="00000000" w:rsidRPr="00000000">
        <w:rPr>
          <w:rFonts w:ascii="Calibri" w:cs="Calibri" w:eastAsia="Calibri" w:hAnsi="Calibri"/>
          <w:sz w:val="24"/>
          <w:szCs w:val="24"/>
          <w:rtl w:val="0"/>
        </w:rPr>
        <w:t xml:space="preserve">) are being tested with BipD for targeted interface Predicted Template Modeling (iPTM) scores &gt; 0.6. We performed six different trials on AlphaFold 3 and received the following iPTM scores (with x &lt; 0.6 signifying low confidence, x = 0.6–0.7 signifying moderate confidence, x &gt; 0.8 signifying high confidence (let x = iPTM value)): Trial 1 = 0.08, Trial 2 = 0.21, Trials 3, 4, 5 = 0.09, Trial 6 = 0.15. </w:t>
      </w:r>
    </w:p>
    <w:p w:rsidR="00000000" w:rsidDel="00000000" w:rsidP="00000000" w:rsidRDefault="00000000" w:rsidRPr="00000000" w14:paraId="00000014">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Conclusion</w:t>
      </w:r>
      <w:r w:rsidDel="00000000" w:rsidR="00000000" w:rsidRPr="00000000">
        <w:rPr>
          <w:rFonts w:ascii="Calibri" w:cs="Calibri" w:eastAsia="Calibri" w:hAnsi="Calibri"/>
          <w:sz w:val="24"/>
          <w:szCs w:val="24"/>
          <w:rtl w:val="0"/>
        </w:rPr>
        <w:t xml:space="preserve">: Although we have no major conclusions so far, it has been discovered that the pretested BipD-aptamer combinations are likely inaccurate for our targeted processes. Further </w:t>
      </w:r>
      <w:r w:rsidDel="00000000" w:rsidR="00000000" w:rsidRPr="00000000">
        <w:rPr>
          <w:rFonts w:ascii="Calibri" w:cs="Calibri" w:eastAsia="Calibri" w:hAnsi="Calibri"/>
          <w:i w:val="1"/>
          <w:iCs w:val="1"/>
          <w:sz w:val="24"/>
          <w:szCs w:val="24"/>
          <w:rtl w:val="0"/>
        </w:rPr>
        <w:t xml:space="preserve">in silico</w:t>
      </w:r>
      <w:r w:rsidDel="00000000" w:rsidR="00000000" w:rsidRPr="00000000">
        <w:rPr>
          <w:rFonts w:ascii="Calibri" w:cs="Calibri" w:eastAsia="Calibri" w:hAnsi="Calibri"/>
          <w:sz w:val="24"/>
          <w:szCs w:val="24"/>
          <w:rtl w:val="0"/>
        </w:rPr>
        <w:t xml:space="preserve"> validation is necessary prior to hands-on experimentation.</w:t>
      </w:r>
    </w:p>
    <w:p w:rsidR="00000000" w:rsidDel="00000000" w:rsidP="00000000" w:rsidRDefault="00000000" w:rsidRPr="00000000" w14:paraId="00000016">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widowControl w:val="0"/>
        <w:spacing w:line="240" w:lineRule="auto"/>
        <w:rPr>
          <w:rFonts w:ascii="Calibri" w:cs="Calibri" w:eastAsia="Calibri" w:hAnsi="Calibr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