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</w:rPr>
      </w:pP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Salmonella typhimurium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S. typhi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 is a prevalent bacterial species, and is estimated to cause around 33% of food-borne illness in Sub-Saharan Africa, South Asia, East Asia, and Pacific regions, affecting 762 per 100,000 person every year. To decrease food contamination in these areas, a portable and self-regenerating detection system is needed. To fulfill these needs, we designed a yeast-based detection system using synthetic biology. Our system will express an antibody to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 S. typhi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via a-agglutinin complex subunits (Aga1p and Aga2p) on the surface of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Saccharomyces cerevisiae </w:t>
      </w:r>
      <w:r w:rsidDel="00000000" w:rsidR="00000000" w:rsidRPr="00000000">
        <w:rPr>
          <w:rFonts w:ascii="Roboto" w:cs="Roboto" w:eastAsia="Roboto" w:hAnsi="Roboto"/>
          <w:rtl w:val="0"/>
        </w:rPr>
        <w:t xml:space="preserve">(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S. cerevisiae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), a yeast that is both engineerable in the lab and safe to provide to households in affected areas. When the antibody presented on the surface of these engineered yeast binds to a lipopolysaccharide of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S. typhi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it can activate the Hog1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Fonts w:ascii="Roboto" w:cs="Roboto" w:eastAsia="Roboto" w:hAnsi="Roboto"/>
          <w:rtl w:val="0"/>
        </w:rPr>
        <w:t xml:space="preserve">pathway. This pathway is naturally present in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S. cerevisiae</w:t>
      </w:r>
      <w:r w:rsidDel="00000000" w:rsidR="00000000" w:rsidRPr="00000000">
        <w:rPr>
          <w:rFonts w:ascii="Roboto" w:cs="Roboto" w:eastAsia="Roboto" w:hAnsi="Roboto"/>
          <w:rtl w:val="0"/>
        </w:rPr>
        <w:t xml:space="preserve">, and will be engineered to generate a detectable signal that will provide an early warning for food contamination. Our system, if successful, will create a low-cost, self-regenerating detector for </w:t>
      </w:r>
      <w:r w:rsidDel="00000000" w:rsidR="00000000" w:rsidRPr="00000000">
        <w:rPr>
          <w:rFonts w:ascii="Roboto" w:cs="Roboto" w:eastAsia="Roboto" w:hAnsi="Roboto"/>
          <w:i w:val="1"/>
          <w:rtl w:val="0"/>
        </w:rPr>
        <w:t xml:space="preserve">S. typhi</w:t>
      </w:r>
      <w:r w:rsidDel="00000000" w:rsidR="00000000" w:rsidRPr="00000000">
        <w:rPr>
          <w:rFonts w:ascii="Roboto" w:cs="Roboto" w:eastAsia="Roboto" w:hAnsi="Roboto"/>
          <w:rtl w:val="0"/>
        </w:rPr>
        <w:t xml:space="preserve">. Its low cost and its capacity to reproduce will ensure greater access to our system, making food and water in third-world countries safer to consume and reducing disease.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